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293C" w14:textId="77777777" w:rsidR="008C113E" w:rsidRPr="008C113E" w:rsidRDefault="008C113E" w:rsidP="008C113E">
      <w:pPr>
        <w:rPr>
          <w:rFonts w:ascii="Calibri" w:hAnsi="Calibri" w:cs="Calibri"/>
          <w:b/>
          <w:bCs/>
          <w:sz w:val="22"/>
          <w:szCs w:val="22"/>
        </w:rPr>
      </w:pPr>
      <w:r w:rsidRPr="008C113E">
        <w:rPr>
          <w:rFonts w:ascii="Calibri" w:hAnsi="Calibri" w:cs="Calibri"/>
          <w:b/>
          <w:bCs/>
          <w:sz w:val="22"/>
          <w:szCs w:val="22"/>
        </w:rPr>
        <w:t>JALGRATTURI KOOLITUSE TÖÖPLAAN</w:t>
      </w:r>
    </w:p>
    <w:p w14:paraId="0967929B" w14:textId="77777777" w:rsidR="008C113E" w:rsidRPr="008C113E" w:rsidRDefault="008C113E" w:rsidP="008C113E">
      <w:pPr>
        <w:rPr>
          <w:rFonts w:ascii="Calibri" w:hAnsi="Calibri" w:cs="Calibri"/>
          <w:sz w:val="22"/>
          <w:szCs w:val="22"/>
        </w:rPr>
      </w:pPr>
      <w:r w:rsidRPr="008C113E">
        <w:rPr>
          <w:rFonts w:ascii="Calibri" w:hAnsi="Calibri" w:cs="Calibri"/>
          <w:b/>
          <w:bCs/>
          <w:sz w:val="22"/>
          <w:szCs w:val="22"/>
        </w:rPr>
        <w:t>Pärnu Waldorfkool, 3. klass</w:t>
      </w:r>
    </w:p>
    <w:p w14:paraId="656FF370" w14:textId="65834202" w:rsidR="008C113E" w:rsidRPr="008C113E" w:rsidRDefault="008C113E" w:rsidP="008C113E">
      <w:pPr>
        <w:rPr>
          <w:rFonts w:ascii="Calibri" w:hAnsi="Calibri" w:cs="Calibri"/>
          <w:sz w:val="22"/>
          <w:szCs w:val="22"/>
        </w:rPr>
      </w:pPr>
      <w:r w:rsidRPr="008C113E">
        <w:rPr>
          <w:rFonts w:ascii="Calibri" w:hAnsi="Calibri" w:cs="Calibri"/>
          <w:b/>
          <w:bCs/>
          <w:sz w:val="22"/>
          <w:szCs w:val="22"/>
        </w:rPr>
        <w:t>Koolitaja:</w:t>
      </w:r>
      <w:r w:rsidRPr="008C113E">
        <w:rPr>
          <w:rFonts w:ascii="Calibri" w:hAnsi="Calibri" w:cs="Calibri"/>
          <w:sz w:val="22"/>
          <w:szCs w:val="22"/>
        </w:rPr>
        <w:t xml:space="preserve"> </w:t>
      </w:r>
      <w:r>
        <w:rPr>
          <w:rFonts w:ascii="Calibri" w:hAnsi="Calibri" w:cs="Calibri"/>
          <w:sz w:val="22"/>
          <w:szCs w:val="22"/>
        </w:rPr>
        <w:t>Ailen Tiitus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4"/>
        <w:gridCol w:w="3783"/>
        <w:gridCol w:w="3602"/>
        <w:gridCol w:w="677"/>
      </w:tblGrid>
      <w:tr w:rsidR="008C113E" w:rsidRPr="008C113E" w14:paraId="0C748D42" w14:textId="77777777" w:rsidTr="008C113E">
        <w:trPr>
          <w:tblHeader/>
          <w:tblCellSpacing w:w="15" w:type="dxa"/>
        </w:trPr>
        <w:tc>
          <w:tcPr>
            <w:tcW w:w="0" w:type="auto"/>
            <w:vAlign w:val="center"/>
            <w:hideMark/>
          </w:tcPr>
          <w:p w14:paraId="12DAF332" w14:textId="77777777" w:rsidR="008C113E" w:rsidRPr="008C113E" w:rsidRDefault="008C113E" w:rsidP="008C113E">
            <w:pPr>
              <w:rPr>
                <w:rFonts w:ascii="Calibri" w:hAnsi="Calibri" w:cs="Calibri"/>
                <w:b/>
                <w:bCs/>
                <w:sz w:val="22"/>
                <w:szCs w:val="22"/>
              </w:rPr>
            </w:pPr>
            <w:r w:rsidRPr="008C113E">
              <w:rPr>
                <w:rFonts w:ascii="Calibri" w:hAnsi="Calibri" w:cs="Calibri"/>
                <w:b/>
                <w:bCs/>
                <w:sz w:val="22"/>
                <w:szCs w:val="22"/>
              </w:rPr>
              <w:t>Kuupäev</w:t>
            </w:r>
          </w:p>
        </w:tc>
        <w:tc>
          <w:tcPr>
            <w:tcW w:w="0" w:type="auto"/>
            <w:vAlign w:val="center"/>
            <w:hideMark/>
          </w:tcPr>
          <w:p w14:paraId="74B08107" w14:textId="77777777" w:rsidR="008C113E" w:rsidRPr="008C113E" w:rsidRDefault="008C113E" w:rsidP="008C113E">
            <w:pPr>
              <w:rPr>
                <w:rFonts w:ascii="Calibri" w:hAnsi="Calibri" w:cs="Calibri"/>
                <w:b/>
                <w:bCs/>
                <w:sz w:val="22"/>
                <w:szCs w:val="22"/>
              </w:rPr>
            </w:pPr>
            <w:r w:rsidRPr="008C113E">
              <w:rPr>
                <w:rFonts w:ascii="Calibri" w:hAnsi="Calibri" w:cs="Calibri"/>
                <w:b/>
                <w:bCs/>
                <w:sz w:val="22"/>
                <w:szCs w:val="22"/>
              </w:rPr>
              <w:t>Teema</w:t>
            </w:r>
          </w:p>
        </w:tc>
        <w:tc>
          <w:tcPr>
            <w:tcW w:w="0" w:type="auto"/>
            <w:vAlign w:val="center"/>
            <w:hideMark/>
          </w:tcPr>
          <w:p w14:paraId="3252EEC4" w14:textId="77777777" w:rsidR="008C113E" w:rsidRPr="008C113E" w:rsidRDefault="008C113E" w:rsidP="008C113E">
            <w:pPr>
              <w:rPr>
                <w:rFonts w:ascii="Calibri" w:hAnsi="Calibri" w:cs="Calibri"/>
                <w:b/>
                <w:bCs/>
                <w:sz w:val="22"/>
                <w:szCs w:val="22"/>
              </w:rPr>
            </w:pPr>
            <w:r w:rsidRPr="008C113E">
              <w:rPr>
                <w:rFonts w:ascii="Calibri" w:hAnsi="Calibri" w:cs="Calibri"/>
                <w:b/>
                <w:bCs/>
                <w:sz w:val="22"/>
                <w:szCs w:val="22"/>
              </w:rPr>
              <w:t>Märkused</w:t>
            </w:r>
          </w:p>
        </w:tc>
        <w:tc>
          <w:tcPr>
            <w:tcW w:w="0" w:type="auto"/>
            <w:vAlign w:val="center"/>
            <w:hideMark/>
          </w:tcPr>
          <w:p w14:paraId="329EAD8B" w14:textId="77777777" w:rsidR="008C113E" w:rsidRPr="008C113E" w:rsidRDefault="008C113E" w:rsidP="008C113E">
            <w:pPr>
              <w:rPr>
                <w:rFonts w:ascii="Calibri" w:hAnsi="Calibri" w:cs="Calibri"/>
                <w:b/>
                <w:bCs/>
                <w:sz w:val="22"/>
                <w:szCs w:val="22"/>
              </w:rPr>
            </w:pPr>
            <w:r w:rsidRPr="008C113E">
              <w:rPr>
                <w:rFonts w:ascii="Calibri" w:hAnsi="Calibri" w:cs="Calibri"/>
                <w:b/>
                <w:bCs/>
                <w:sz w:val="22"/>
                <w:szCs w:val="22"/>
              </w:rPr>
              <w:t>Ak. tunde</w:t>
            </w:r>
          </w:p>
        </w:tc>
      </w:tr>
      <w:tr w:rsidR="008C113E" w:rsidRPr="008C113E" w14:paraId="22A30D3C" w14:textId="77777777" w:rsidTr="008C113E">
        <w:trPr>
          <w:tblCellSpacing w:w="15" w:type="dxa"/>
        </w:trPr>
        <w:tc>
          <w:tcPr>
            <w:tcW w:w="0" w:type="auto"/>
            <w:vAlign w:val="center"/>
            <w:hideMark/>
          </w:tcPr>
          <w:p w14:paraId="6E5BD5B2"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11. märts 2026</w:t>
            </w:r>
          </w:p>
        </w:tc>
        <w:tc>
          <w:tcPr>
            <w:tcW w:w="0" w:type="auto"/>
            <w:vAlign w:val="center"/>
            <w:hideMark/>
          </w:tcPr>
          <w:p w14:paraId="5421FAC2"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Õpilaste olemasolevate teadmiste kontroll liikluses toimuvast, põhimõisted liikluses, nõuded jalgrattale ja jalgratturile, sõidutee ületamine</w:t>
            </w:r>
          </w:p>
        </w:tc>
        <w:tc>
          <w:tcPr>
            <w:tcW w:w="0" w:type="auto"/>
            <w:vAlign w:val="center"/>
            <w:hideMark/>
          </w:tcPr>
          <w:p w14:paraId="369DD04D" w14:textId="77777777" w:rsidR="008C113E" w:rsidRPr="008C113E" w:rsidRDefault="008C113E" w:rsidP="008C113E">
            <w:pPr>
              <w:rPr>
                <w:rFonts w:ascii="Calibri" w:hAnsi="Calibri" w:cs="Calibri"/>
                <w:sz w:val="22"/>
                <w:szCs w:val="22"/>
              </w:rPr>
            </w:pPr>
          </w:p>
        </w:tc>
        <w:tc>
          <w:tcPr>
            <w:tcW w:w="0" w:type="auto"/>
            <w:vAlign w:val="center"/>
            <w:hideMark/>
          </w:tcPr>
          <w:p w14:paraId="5F4CDC0F"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2</w:t>
            </w:r>
          </w:p>
        </w:tc>
      </w:tr>
      <w:tr w:rsidR="008C113E" w:rsidRPr="008C113E" w14:paraId="02D3A657" w14:textId="77777777" w:rsidTr="008C113E">
        <w:trPr>
          <w:tblCellSpacing w:w="15" w:type="dxa"/>
        </w:trPr>
        <w:tc>
          <w:tcPr>
            <w:tcW w:w="0" w:type="auto"/>
            <w:vAlign w:val="center"/>
            <w:hideMark/>
          </w:tcPr>
          <w:p w14:paraId="643F6BD8"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18. märts 2026</w:t>
            </w:r>
          </w:p>
        </w:tc>
        <w:tc>
          <w:tcPr>
            <w:tcW w:w="0" w:type="auto"/>
            <w:vAlign w:val="center"/>
            <w:hideMark/>
          </w:tcPr>
          <w:p w14:paraId="70192E62"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Kiiver, jalgratturi käemärguanded, sõiduki asukoht teel, sõidu alustamine, pöörded, seisma jäämine, teiste liiklejatega arvestamine, parema käe reegel, sõidu eesõigus</w:t>
            </w:r>
          </w:p>
        </w:tc>
        <w:tc>
          <w:tcPr>
            <w:tcW w:w="0" w:type="auto"/>
            <w:vAlign w:val="center"/>
            <w:hideMark/>
          </w:tcPr>
          <w:p w14:paraId="11155B8B"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Munakiiver</w:t>
            </w:r>
          </w:p>
        </w:tc>
        <w:tc>
          <w:tcPr>
            <w:tcW w:w="0" w:type="auto"/>
            <w:vAlign w:val="center"/>
            <w:hideMark/>
          </w:tcPr>
          <w:p w14:paraId="7B65935F"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2</w:t>
            </w:r>
          </w:p>
        </w:tc>
      </w:tr>
      <w:tr w:rsidR="008C113E" w:rsidRPr="008C113E" w14:paraId="48CC4911" w14:textId="77777777" w:rsidTr="008C113E">
        <w:trPr>
          <w:tblCellSpacing w:w="15" w:type="dxa"/>
        </w:trPr>
        <w:tc>
          <w:tcPr>
            <w:tcW w:w="0" w:type="auto"/>
            <w:vAlign w:val="center"/>
            <w:hideMark/>
          </w:tcPr>
          <w:p w14:paraId="0CA110C7"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25. märts 2026</w:t>
            </w:r>
          </w:p>
        </w:tc>
        <w:tc>
          <w:tcPr>
            <w:tcW w:w="0" w:type="auto"/>
            <w:vAlign w:val="center"/>
            <w:hideMark/>
          </w:tcPr>
          <w:p w14:paraId="1A0D6C7A"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Liiklusmärgid: eesõigusmärgid, keelumärgid, hoiatusmärgid, kohustusmärgid, osutusmärgid, mõjualamärgid, juhatusmärgid, teeninduskohamärgid, lisateatetahvlid</w:t>
            </w:r>
          </w:p>
        </w:tc>
        <w:tc>
          <w:tcPr>
            <w:tcW w:w="0" w:type="auto"/>
            <w:vAlign w:val="center"/>
            <w:hideMark/>
          </w:tcPr>
          <w:p w14:paraId="1007480D"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Liiklusmärkide komplekt</w:t>
            </w:r>
          </w:p>
        </w:tc>
        <w:tc>
          <w:tcPr>
            <w:tcW w:w="0" w:type="auto"/>
            <w:vAlign w:val="center"/>
            <w:hideMark/>
          </w:tcPr>
          <w:p w14:paraId="0263C6BF"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2</w:t>
            </w:r>
          </w:p>
        </w:tc>
      </w:tr>
      <w:tr w:rsidR="008C113E" w:rsidRPr="008C113E" w14:paraId="1FE7F202" w14:textId="77777777" w:rsidTr="008C113E">
        <w:trPr>
          <w:tblCellSpacing w:w="15" w:type="dxa"/>
        </w:trPr>
        <w:tc>
          <w:tcPr>
            <w:tcW w:w="0" w:type="auto"/>
            <w:vAlign w:val="center"/>
            <w:hideMark/>
          </w:tcPr>
          <w:p w14:paraId="601BF1CC"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1. aprill 2026</w:t>
            </w:r>
          </w:p>
        </w:tc>
        <w:tc>
          <w:tcPr>
            <w:tcW w:w="0" w:type="auto"/>
            <w:vAlign w:val="center"/>
            <w:hideMark/>
          </w:tcPr>
          <w:p w14:paraId="2B180563"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Foorid, reguleerija märguanded, teekattemärgised, erinevad ristmikud, sõit ristmikel, sõit asulas ja asulavälisel teel</w:t>
            </w:r>
          </w:p>
        </w:tc>
        <w:tc>
          <w:tcPr>
            <w:tcW w:w="0" w:type="auto"/>
            <w:vAlign w:val="center"/>
            <w:hideMark/>
          </w:tcPr>
          <w:p w14:paraId="53937E7B" w14:textId="77777777" w:rsidR="008C113E" w:rsidRPr="008C113E" w:rsidRDefault="008C113E" w:rsidP="008C113E">
            <w:pPr>
              <w:rPr>
                <w:rFonts w:ascii="Calibri" w:hAnsi="Calibri" w:cs="Calibri"/>
                <w:sz w:val="22"/>
                <w:szCs w:val="22"/>
              </w:rPr>
            </w:pPr>
          </w:p>
        </w:tc>
        <w:tc>
          <w:tcPr>
            <w:tcW w:w="0" w:type="auto"/>
            <w:vAlign w:val="center"/>
            <w:hideMark/>
          </w:tcPr>
          <w:p w14:paraId="5C681484"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2</w:t>
            </w:r>
          </w:p>
        </w:tc>
      </w:tr>
      <w:tr w:rsidR="008C113E" w:rsidRPr="008C113E" w14:paraId="07E35FB1" w14:textId="77777777" w:rsidTr="008C113E">
        <w:trPr>
          <w:tblCellSpacing w:w="15" w:type="dxa"/>
        </w:trPr>
        <w:tc>
          <w:tcPr>
            <w:tcW w:w="0" w:type="auto"/>
            <w:vAlign w:val="center"/>
            <w:hideMark/>
          </w:tcPr>
          <w:p w14:paraId="203BF957"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8. aprill 2026</w:t>
            </w:r>
          </w:p>
        </w:tc>
        <w:tc>
          <w:tcPr>
            <w:tcW w:w="0" w:type="auto"/>
            <w:vAlign w:val="center"/>
            <w:hideMark/>
          </w:tcPr>
          <w:p w14:paraId="37D94471"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Raudtee, sõit pimeda ajal, ohtlikud olukorrad jalgratturile, vahekontroll õpilaste omandatud teadmistest</w:t>
            </w:r>
          </w:p>
        </w:tc>
        <w:tc>
          <w:tcPr>
            <w:tcW w:w="0" w:type="auto"/>
            <w:vAlign w:val="center"/>
            <w:hideMark/>
          </w:tcPr>
          <w:p w14:paraId="2523619E" w14:textId="77777777" w:rsidR="008C113E" w:rsidRPr="008C113E" w:rsidRDefault="008C113E" w:rsidP="008C113E">
            <w:pPr>
              <w:rPr>
                <w:rFonts w:ascii="Calibri" w:hAnsi="Calibri" w:cs="Calibri"/>
                <w:sz w:val="22"/>
                <w:szCs w:val="22"/>
              </w:rPr>
            </w:pPr>
          </w:p>
        </w:tc>
        <w:tc>
          <w:tcPr>
            <w:tcW w:w="0" w:type="auto"/>
            <w:vAlign w:val="center"/>
            <w:hideMark/>
          </w:tcPr>
          <w:p w14:paraId="5964B793"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2</w:t>
            </w:r>
          </w:p>
        </w:tc>
      </w:tr>
      <w:tr w:rsidR="008C113E" w:rsidRPr="008C113E" w14:paraId="1519E81A" w14:textId="77777777" w:rsidTr="008C113E">
        <w:trPr>
          <w:tblCellSpacing w:w="15" w:type="dxa"/>
        </w:trPr>
        <w:tc>
          <w:tcPr>
            <w:tcW w:w="0" w:type="auto"/>
            <w:vAlign w:val="center"/>
            <w:hideMark/>
          </w:tcPr>
          <w:p w14:paraId="38DAC23F"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22. aprill 2026</w:t>
            </w:r>
          </w:p>
        </w:tc>
        <w:tc>
          <w:tcPr>
            <w:tcW w:w="0" w:type="auto"/>
            <w:vAlign w:val="center"/>
            <w:hideMark/>
          </w:tcPr>
          <w:p w14:paraId="3B5AC686"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Liiklustestide lahendamine</w:t>
            </w:r>
          </w:p>
        </w:tc>
        <w:tc>
          <w:tcPr>
            <w:tcW w:w="0" w:type="auto"/>
            <w:vAlign w:val="center"/>
            <w:hideMark/>
          </w:tcPr>
          <w:p w14:paraId="247EE224"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Harjutustestid</w:t>
            </w:r>
          </w:p>
        </w:tc>
        <w:tc>
          <w:tcPr>
            <w:tcW w:w="0" w:type="auto"/>
            <w:vAlign w:val="center"/>
            <w:hideMark/>
          </w:tcPr>
          <w:p w14:paraId="32B6424A"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2</w:t>
            </w:r>
          </w:p>
        </w:tc>
      </w:tr>
      <w:tr w:rsidR="008C113E" w:rsidRPr="008C113E" w14:paraId="0B7CF88D" w14:textId="77777777" w:rsidTr="008C113E">
        <w:trPr>
          <w:tblCellSpacing w:w="15" w:type="dxa"/>
        </w:trPr>
        <w:tc>
          <w:tcPr>
            <w:tcW w:w="0" w:type="auto"/>
            <w:vAlign w:val="center"/>
            <w:hideMark/>
          </w:tcPr>
          <w:p w14:paraId="1DE9F168" w14:textId="77777777" w:rsidR="008C113E" w:rsidRPr="008C113E" w:rsidRDefault="008C113E" w:rsidP="008C113E">
            <w:pPr>
              <w:rPr>
                <w:rFonts w:ascii="Calibri" w:hAnsi="Calibri" w:cs="Calibri"/>
                <w:sz w:val="22"/>
                <w:szCs w:val="22"/>
              </w:rPr>
            </w:pPr>
          </w:p>
        </w:tc>
        <w:tc>
          <w:tcPr>
            <w:tcW w:w="0" w:type="auto"/>
            <w:vAlign w:val="center"/>
            <w:hideMark/>
          </w:tcPr>
          <w:p w14:paraId="32DEF2F5"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Jalgratta tehnilise korrasoleku kontroll, kiivrite kontroll ja reguleerimine, sõidu harjutamine õppeväljakul: sõidu alustamine, ümberpõige takistusest, ringis sõit, kaheksa, slaalom, peatamine</w:t>
            </w:r>
          </w:p>
        </w:tc>
        <w:tc>
          <w:tcPr>
            <w:tcW w:w="0" w:type="auto"/>
            <w:vAlign w:val="center"/>
            <w:hideMark/>
          </w:tcPr>
          <w:p w14:paraId="2E1B621E"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Koonused, torbikud, klotsid</w:t>
            </w:r>
          </w:p>
        </w:tc>
        <w:tc>
          <w:tcPr>
            <w:tcW w:w="0" w:type="auto"/>
            <w:vAlign w:val="center"/>
            <w:hideMark/>
          </w:tcPr>
          <w:p w14:paraId="6B8FECD1"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3</w:t>
            </w:r>
          </w:p>
        </w:tc>
      </w:tr>
      <w:tr w:rsidR="008C113E" w:rsidRPr="008C113E" w14:paraId="6585D7DE" w14:textId="77777777" w:rsidTr="008C113E">
        <w:trPr>
          <w:tblCellSpacing w:w="15" w:type="dxa"/>
        </w:trPr>
        <w:tc>
          <w:tcPr>
            <w:tcW w:w="0" w:type="auto"/>
            <w:vAlign w:val="center"/>
            <w:hideMark/>
          </w:tcPr>
          <w:p w14:paraId="5457FEFB" w14:textId="77777777" w:rsidR="008C113E" w:rsidRPr="008C113E" w:rsidRDefault="008C113E" w:rsidP="008C113E">
            <w:pPr>
              <w:rPr>
                <w:rFonts w:ascii="Calibri" w:hAnsi="Calibri" w:cs="Calibri"/>
                <w:sz w:val="22"/>
                <w:szCs w:val="22"/>
              </w:rPr>
            </w:pPr>
          </w:p>
        </w:tc>
        <w:tc>
          <w:tcPr>
            <w:tcW w:w="0" w:type="auto"/>
            <w:vAlign w:val="center"/>
            <w:hideMark/>
          </w:tcPr>
          <w:p w14:paraId="4EDDC125"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Jalgrattasõidu harjutamine imiteeritud liiklusega õppeväljakul ja väikese liiklussagedusega tänaval</w:t>
            </w:r>
          </w:p>
        </w:tc>
        <w:tc>
          <w:tcPr>
            <w:tcW w:w="0" w:type="auto"/>
            <w:vAlign w:val="center"/>
            <w:hideMark/>
          </w:tcPr>
          <w:p w14:paraId="2C4779BD"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Kaasatud on lapsevanemad, helkurvestid</w:t>
            </w:r>
          </w:p>
        </w:tc>
        <w:tc>
          <w:tcPr>
            <w:tcW w:w="0" w:type="auto"/>
            <w:vAlign w:val="center"/>
            <w:hideMark/>
          </w:tcPr>
          <w:p w14:paraId="4D162492"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3</w:t>
            </w:r>
          </w:p>
        </w:tc>
      </w:tr>
      <w:tr w:rsidR="008C113E" w:rsidRPr="008C113E" w14:paraId="4C071427" w14:textId="77777777" w:rsidTr="008C113E">
        <w:trPr>
          <w:tblCellSpacing w:w="15" w:type="dxa"/>
        </w:trPr>
        <w:tc>
          <w:tcPr>
            <w:tcW w:w="0" w:type="auto"/>
            <w:vAlign w:val="center"/>
            <w:hideMark/>
          </w:tcPr>
          <w:p w14:paraId="5AB74FE4" w14:textId="77777777" w:rsidR="008C113E" w:rsidRPr="008C113E" w:rsidRDefault="008C113E" w:rsidP="008C113E">
            <w:pPr>
              <w:rPr>
                <w:rFonts w:ascii="Calibri" w:hAnsi="Calibri" w:cs="Calibri"/>
                <w:sz w:val="22"/>
                <w:szCs w:val="22"/>
              </w:rPr>
            </w:pPr>
          </w:p>
        </w:tc>
        <w:tc>
          <w:tcPr>
            <w:tcW w:w="0" w:type="auto"/>
            <w:vAlign w:val="center"/>
            <w:hideMark/>
          </w:tcPr>
          <w:p w14:paraId="4580BB6A"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Teooriaeksam</w:t>
            </w:r>
          </w:p>
        </w:tc>
        <w:tc>
          <w:tcPr>
            <w:tcW w:w="0" w:type="auto"/>
            <w:vAlign w:val="center"/>
            <w:hideMark/>
          </w:tcPr>
          <w:p w14:paraId="76A2A653"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15 valikvastustega küsimust</w:t>
            </w:r>
          </w:p>
        </w:tc>
        <w:tc>
          <w:tcPr>
            <w:tcW w:w="0" w:type="auto"/>
            <w:vAlign w:val="center"/>
            <w:hideMark/>
          </w:tcPr>
          <w:p w14:paraId="58D3AFAB"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1</w:t>
            </w:r>
          </w:p>
        </w:tc>
      </w:tr>
      <w:tr w:rsidR="008C113E" w:rsidRPr="008C113E" w14:paraId="58F4B3C4" w14:textId="77777777" w:rsidTr="008C113E">
        <w:trPr>
          <w:tblCellSpacing w:w="15" w:type="dxa"/>
        </w:trPr>
        <w:tc>
          <w:tcPr>
            <w:tcW w:w="0" w:type="auto"/>
            <w:vAlign w:val="center"/>
            <w:hideMark/>
          </w:tcPr>
          <w:p w14:paraId="469CFEA0" w14:textId="77777777" w:rsidR="008C113E" w:rsidRPr="008C113E" w:rsidRDefault="008C113E" w:rsidP="008C113E">
            <w:pPr>
              <w:rPr>
                <w:rFonts w:ascii="Calibri" w:hAnsi="Calibri" w:cs="Calibri"/>
                <w:sz w:val="22"/>
                <w:szCs w:val="22"/>
              </w:rPr>
            </w:pPr>
          </w:p>
        </w:tc>
        <w:tc>
          <w:tcPr>
            <w:tcW w:w="0" w:type="auto"/>
            <w:vAlign w:val="center"/>
            <w:hideMark/>
          </w:tcPr>
          <w:p w14:paraId="0FE10D87"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Sõidueksam</w:t>
            </w:r>
          </w:p>
        </w:tc>
        <w:tc>
          <w:tcPr>
            <w:tcW w:w="0" w:type="auto"/>
            <w:vAlign w:val="center"/>
            <w:hideMark/>
          </w:tcPr>
          <w:p w14:paraId="47D0BFDF"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Sõidueksam toimub kahes järgus: I järk imiteeritud liiklusega õppeväljakul/koolihoovis, II järk vähese liiklusega teedel või ohutus liikluskeskkonnas.</w:t>
            </w:r>
          </w:p>
        </w:tc>
        <w:tc>
          <w:tcPr>
            <w:tcW w:w="0" w:type="auto"/>
            <w:vAlign w:val="center"/>
            <w:hideMark/>
          </w:tcPr>
          <w:p w14:paraId="2E5DA0F5"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1</w:t>
            </w:r>
          </w:p>
        </w:tc>
      </w:tr>
    </w:tbl>
    <w:p w14:paraId="3EA13B19" w14:textId="77777777" w:rsidR="008C113E" w:rsidRPr="008C113E" w:rsidRDefault="008C113E" w:rsidP="008C113E">
      <w:pPr>
        <w:rPr>
          <w:rFonts w:ascii="Calibri" w:hAnsi="Calibri" w:cs="Calibri"/>
          <w:b/>
          <w:bCs/>
          <w:sz w:val="22"/>
          <w:szCs w:val="22"/>
        </w:rPr>
      </w:pPr>
      <w:r w:rsidRPr="008C113E">
        <w:rPr>
          <w:rFonts w:ascii="Calibri" w:hAnsi="Calibri" w:cs="Calibri"/>
          <w:b/>
          <w:bCs/>
          <w:sz w:val="22"/>
          <w:szCs w:val="22"/>
        </w:rPr>
        <w:t>Sõidueksami korraldus</w:t>
      </w:r>
    </w:p>
    <w:p w14:paraId="4A650034"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Sõidueksamile lubatakse õpilane pärast edukalt sooritatud teooriaeksamit. Enne sõidueksami alustamist paneb õpilane pähe kiivri ning vajadusel reguleerib selle sobivaks. Õpilane kontrollib iseseisvalt jalgratta tehnilist korrasolekut: pidurid, helkurid, tuled ja kell peavad olema töökorras.</w:t>
      </w:r>
    </w:p>
    <w:p w14:paraId="1FC5A7BB" w14:textId="2EF7C7E5" w:rsidR="008C113E" w:rsidRPr="008C113E" w:rsidRDefault="008C113E" w:rsidP="008C113E">
      <w:pPr>
        <w:rPr>
          <w:rFonts w:ascii="Calibri" w:hAnsi="Calibri" w:cs="Calibri"/>
          <w:sz w:val="22"/>
          <w:szCs w:val="22"/>
        </w:rPr>
      </w:pPr>
      <w:r w:rsidRPr="008C113E">
        <w:rPr>
          <w:rFonts w:ascii="Calibri" w:hAnsi="Calibri" w:cs="Calibri"/>
          <w:b/>
          <w:bCs/>
          <w:sz w:val="22"/>
          <w:szCs w:val="22"/>
        </w:rPr>
        <w:t>I järk:</w:t>
      </w:r>
      <w:r w:rsidRPr="008C113E">
        <w:rPr>
          <w:rFonts w:ascii="Calibri" w:hAnsi="Calibri" w:cs="Calibri"/>
          <w:sz w:val="22"/>
          <w:szCs w:val="22"/>
        </w:rPr>
        <w:t xml:space="preserve"> I järgus kontrollitakse õpilase jalgratta käsitsemise oskust liikluseks suletud alal. Õpilane sooritab platsiharjutused „Slaalom“, „Koridor“ ja „Kaheksa“. Harjutuste läbimiseks on aega kuni 10 minutit. Iga harjutuse jaoks on lubatud kuni kaks katset. I järk toimub Pärnu Waldorfkooli</w:t>
      </w:r>
      <w:r>
        <w:rPr>
          <w:rFonts w:ascii="Calibri" w:hAnsi="Calibri" w:cs="Calibri"/>
          <w:sz w:val="22"/>
          <w:szCs w:val="22"/>
        </w:rPr>
        <w:t xml:space="preserve"> vastas olevas Koidula pargis</w:t>
      </w:r>
      <w:r w:rsidRPr="008C113E">
        <w:rPr>
          <w:rFonts w:ascii="Calibri" w:hAnsi="Calibri" w:cs="Calibri"/>
          <w:sz w:val="22"/>
          <w:szCs w:val="22"/>
        </w:rPr>
        <w:t xml:space="preserve"> aadressil Ringi 10, Pärnu.</w:t>
      </w:r>
    </w:p>
    <w:p w14:paraId="7CC0666E" w14:textId="77777777" w:rsidR="008C113E" w:rsidRPr="008C113E" w:rsidRDefault="008C113E" w:rsidP="008C113E">
      <w:pPr>
        <w:rPr>
          <w:rFonts w:ascii="Calibri" w:hAnsi="Calibri" w:cs="Calibri"/>
          <w:sz w:val="22"/>
          <w:szCs w:val="22"/>
        </w:rPr>
      </w:pPr>
      <w:r w:rsidRPr="008C113E">
        <w:rPr>
          <w:rFonts w:ascii="Calibri" w:hAnsi="Calibri" w:cs="Calibri"/>
          <w:b/>
          <w:bCs/>
          <w:sz w:val="22"/>
          <w:szCs w:val="22"/>
        </w:rPr>
        <w:t>II järk:</w:t>
      </w:r>
      <w:r w:rsidRPr="008C113E">
        <w:rPr>
          <w:rFonts w:ascii="Calibri" w:hAnsi="Calibri" w:cs="Calibri"/>
          <w:sz w:val="22"/>
          <w:szCs w:val="22"/>
        </w:rPr>
        <w:t xml:space="preserve"> II järku lubatakse õpilane, kes on I järgu edukalt läbinud. II järg viiakse läbi vähese liiklusega teedel või muus jalgrattaga liiklemiseks ohutus liikluskeskkonnas, vajadusel ka imiteeritud liiklusega platsil. Sõidetakse põhimõttel üks õpilane ja üks eksamikomisjoni liige. Marsruut täpsustatakse enne eksamit vastavalt liiklus- ja ilmaoludele ning valitakse kooli ümbruse ohutu liikluskeskkond, lähtemarsruudiga Pärnu Waldorfkooli koolihoov, Ringi 10 – kooli lähiümbruse vähese liiklusega tänavad ja/või jalgratta- ja jalgtee – koolihoov. II järg kestab kuni 25 minutit.</w:t>
      </w:r>
    </w:p>
    <w:p w14:paraId="7C267E52"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Eksami käigus jälgitakse õpilase ohutut liikluskäitumist, tähelepanelikkust, käemärguannete kasutamist, paiknemist teel, teiste liiklejatega arvestamist ning liiklusreeglite järgimist. Eksami tulemused ja eksamikomisjoni otsus protokollitakse.</w:t>
      </w:r>
    </w:p>
    <w:p w14:paraId="6BC91370"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Koolituse maht on 20 akadeemilist tundi, millest 7 akadeemilist tundi on praktilist sõiduõpet. Koolituse maht sisaldab teooria- ja sõidueksamit.</w:t>
      </w:r>
    </w:p>
    <w:p w14:paraId="1BFB8F13"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Jalgratta sõidutundide täpsed kuupäevad selguvad pärast teooriatundide lõppemist ja sõltuvad otseselt ilmastikutingimustest ning kokkulepetest lastevanematega.</w:t>
      </w:r>
    </w:p>
    <w:p w14:paraId="1CAC8839" w14:textId="77777777" w:rsidR="008C113E" w:rsidRPr="008C113E" w:rsidRDefault="008C113E" w:rsidP="008C113E">
      <w:pPr>
        <w:rPr>
          <w:rFonts w:ascii="Calibri" w:hAnsi="Calibri" w:cs="Calibri"/>
          <w:sz w:val="22"/>
          <w:szCs w:val="22"/>
        </w:rPr>
      </w:pPr>
      <w:r w:rsidRPr="008C113E">
        <w:rPr>
          <w:rFonts w:ascii="Calibri" w:hAnsi="Calibri" w:cs="Calibri"/>
          <w:sz w:val="22"/>
          <w:szCs w:val="22"/>
        </w:rPr>
        <w:t>Teooria- ja sõidueksam toimuvad pärast sõidutundide sooritamist.</w:t>
      </w:r>
    </w:p>
    <w:p w14:paraId="21F2AEA7" w14:textId="77777777" w:rsidR="008C113E" w:rsidRPr="008C113E" w:rsidRDefault="008C113E" w:rsidP="008C113E">
      <w:pPr>
        <w:rPr>
          <w:rFonts w:ascii="Calibri" w:hAnsi="Calibri" w:cs="Calibri"/>
          <w:sz w:val="22"/>
          <w:szCs w:val="22"/>
        </w:rPr>
      </w:pPr>
      <w:r w:rsidRPr="008C113E">
        <w:rPr>
          <w:rFonts w:ascii="Calibri" w:hAnsi="Calibri" w:cs="Calibri"/>
          <w:b/>
          <w:bCs/>
          <w:sz w:val="22"/>
          <w:szCs w:val="22"/>
        </w:rPr>
        <w:t>Koostas:</w:t>
      </w:r>
      <w:r w:rsidRPr="008C113E">
        <w:rPr>
          <w:rFonts w:ascii="Calibri" w:hAnsi="Calibri" w:cs="Calibri"/>
          <w:sz w:val="22"/>
          <w:szCs w:val="22"/>
        </w:rPr>
        <w:t xml:space="preserve"> Pärnu Waldorfkool</w:t>
      </w:r>
    </w:p>
    <w:p w14:paraId="7622FC21" w14:textId="77777777" w:rsidR="008C113E" w:rsidRPr="008C113E" w:rsidRDefault="008C113E" w:rsidP="008C113E">
      <w:pPr>
        <w:rPr>
          <w:rFonts w:ascii="Calibri" w:hAnsi="Calibri" w:cs="Calibri"/>
          <w:sz w:val="22"/>
          <w:szCs w:val="22"/>
        </w:rPr>
      </w:pPr>
      <w:r w:rsidRPr="008C113E">
        <w:rPr>
          <w:rFonts w:ascii="Calibri" w:hAnsi="Calibri" w:cs="Calibri"/>
          <w:b/>
          <w:bCs/>
          <w:sz w:val="22"/>
          <w:szCs w:val="22"/>
        </w:rPr>
        <w:t>Kuupäev:</w:t>
      </w:r>
      <w:r w:rsidRPr="008C113E">
        <w:rPr>
          <w:rFonts w:ascii="Calibri" w:hAnsi="Calibri" w:cs="Calibri"/>
          <w:sz w:val="22"/>
          <w:szCs w:val="22"/>
        </w:rPr>
        <w:t xml:space="preserve"> 17.03.2026</w:t>
      </w:r>
    </w:p>
    <w:p w14:paraId="11C6755E" w14:textId="77777777" w:rsidR="00822D4D" w:rsidRPr="008C113E" w:rsidRDefault="00822D4D">
      <w:pPr>
        <w:rPr>
          <w:rFonts w:ascii="Calibri" w:hAnsi="Calibri" w:cs="Calibri"/>
          <w:sz w:val="22"/>
          <w:szCs w:val="22"/>
        </w:rPr>
      </w:pPr>
    </w:p>
    <w:sectPr w:rsidR="00822D4D" w:rsidRPr="008C1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3E"/>
    <w:rsid w:val="00822D4D"/>
    <w:rsid w:val="008C113E"/>
    <w:rsid w:val="00A2424C"/>
    <w:rsid w:val="00FF5A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97AC"/>
  <w15:chartTrackingRefBased/>
  <w15:docId w15:val="{1C57675C-81F1-483C-AAF7-8F11EBC0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13E"/>
    <w:rPr>
      <w:rFonts w:eastAsiaTheme="majorEastAsia" w:cstheme="majorBidi"/>
      <w:color w:val="272727" w:themeColor="text1" w:themeTint="D8"/>
    </w:rPr>
  </w:style>
  <w:style w:type="paragraph" w:styleId="Title">
    <w:name w:val="Title"/>
    <w:basedOn w:val="Normal"/>
    <w:next w:val="Normal"/>
    <w:link w:val="TitleChar"/>
    <w:uiPriority w:val="10"/>
    <w:qFormat/>
    <w:rsid w:val="008C1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13E"/>
    <w:pPr>
      <w:spacing w:before="160"/>
      <w:jc w:val="center"/>
    </w:pPr>
    <w:rPr>
      <w:i/>
      <w:iCs/>
      <w:color w:val="404040" w:themeColor="text1" w:themeTint="BF"/>
    </w:rPr>
  </w:style>
  <w:style w:type="character" w:customStyle="1" w:styleId="QuoteChar">
    <w:name w:val="Quote Char"/>
    <w:basedOn w:val="DefaultParagraphFont"/>
    <w:link w:val="Quote"/>
    <w:uiPriority w:val="29"/>
    <w:rsid w:val="008C113E"/>
    <w:rPr>
      <w:i/>
      <w:iCs/>
      <w:color w:val="404040" w:themeColor="text1" w:themeTint="BF"/>
    </w:rPr>
  </w:style>
  <w:style w:type="paragraph" w:styleId="ListParagraph">
    <w:name w:val="List Paragraph"/>
    <w:basedOn w:val="Normal"/>
    <w:uiPriority w:val="34"/>
    <w:qFormat/>
    <w:rsid w:val="008C113E"/>
    <w:pPr>
      <w:ind w:left="720"/>
      <w:contextualSpacing/>
    </w:pPr>
  </w:style>
  <w:style w:type="character" w:styleId="IntenseEmphasis">
    <w:name w:val="Intense Emphasis"/>
    <w:basedOn w:val="DefaultParagraphFont"/>
    <w:uiPriority w:val="21"/>
    <w:qFormat/>
    <w:rsid w:val="008C113E"/>
    <w:rPr>
      <w:i/>
      <w:iCs/>
      <w:color w:val="0F4761" w:themeColor="accent1" w:themeShade="BF"/>
    </w:rPr>
  </w:style>
  <w:style w:type="paragraph" w:styleId="IntenseQuote">
    <w:name w:val="Intense Quote"/>
    <w:basedOn w:val="Normal"/>
    <w:next w:val="Normal"/>
    <w:link w:val="IntenseQuoteChar"/>
    <w:uiPriority w:val="30"/>
    <w:qFormat/>
    <w:rsid w:val="008C1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13E"/>
    <w:rPr>
      <w:i/>
      <w:iCs/>
      <w:color w:val="0F4761" w:themeColor="accent1" w:themeShade="BF"/>
    </w:rPr>
  </w:style>
  <w:style w:type="character" w:styleId="IntenseReference">
    <w:name w:val="Intense Reference"/>
    <w:basedOn w:val="DefaultParagraphFont"/>
    <w:uiPriority w:val="32"/>
    <w:qFormat/>
    <w:rsid w:val="008C1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2970</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Müristaja</dc:creator>
  <cp:keywords/>
  <dc:description/>
  <cp:lastModifiedBy>Heli Müristaja</cp:lastModifiedBy>
  <cp:revision>1</cp:revision>
  <dcterms:created xsi:type="dcterms:W3CDTF">2026-04-29T13:06:00Z</dcterms:created>
  <dcterms:modified xsi:type="dcterms:W3CDTF">2026-04-29T13:08:00Z</dcterms:modified>
</cp:coreProperties>
</file>